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35" w:rsidRPr="00481E30" w:rsidRDefault="00D76C35" w:rsidP="00D76C35">
      <w:pPr>
        <w:jc w:val="both"/>
        <w:rPr>
          <w:rStyle w:val="Gl"/>
          <w:sz w:val="24"/>
          <w:szCs w:val="24"/>
        </w:rPr>
      </w:pPr>
      <w:r w:rsidRPr="00481E30">
        <w:rPr>
          <w:rStyle w:val="Gl"/>
          <w:sz w:val="24"/>
          <w:szCs w:val="24"/>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D76C35" w:rsidRPr="00481E30" w:rsidRDefault="00D76C35" w:rsidP="00D76C35">
      <w:pPr>
        <w:jc w:val="both"/>
        <w:rPr>
          <w:rStyle w:val="Gl"/>
          <w:sz w:val="24"/>
          <w:szCs w:val="24"/>
        </w:rPr>
      </w:pPr>
      <w:r w:rsidRPr="00481E30">
        <w:rPr>
          <w:rStyle w:val="Gl"/>
          <w:sz w:val="24"/>
          <w:szCs w:val="24"/>
        </w:rPr>
        <w:t>GENEL OKUL KURALLARI</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Okula zamanında gelinir.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Koridorlarda koşmadan yürünür, gürültü yapılmaz.</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Tuvaletler temiz tutulur, musluklar açık bırakılmaz.</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Teneffüslerde oyun alanının dışına çıkılmaz.</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Öğretmenlerin ve yöneticilerin uyarıları dikkate alınır.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Okul çevresi temiz tutulur, doğa korunur.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Derslikler ile Okuldaki tüm kapalı ve açık alanlar gibi ortak kullanım alanlarında yemek artığı çöp ve atık bırakılmaz. Öğrenci bunları en yakın çöp kutusuna atmakla yükümlüdür.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küfür ve argo içeren sözler kullanamazlar, birbirlerine fiziksel zarar verici harekette bulunmazlar, kavga edemezler, birbirlerine ve öğretmenlerine görgü kuralları içinde hitap ederler.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Okulda yapılan etkinliklere ve törenlere katılmak, bu etkinlikler sırasında görgü kurallarına ve etkinliğin özel kurallarına uygun davranmak zorundadırlar.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Her öğrenci bayrak törenlerinde kendi dersliği için ayrılan yerde düzgün olarak sıra olmak, sessiz olarak komut verilmesini beklemek ve İstiklal Marşı’nı yüksek sesle söylemek zorundadır.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Okula ait malzeme ve diğer Okul eşyalarını korumak ve zarar vermemekle yükümlüdürler.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kütüphanede, fen laboratuvarlarında, bilgisayar odasında, spor salonund</w:t>
      </w:r>
      <w:r>
        <w:rPr>
          <w:rStyle w:val="Gl"/>
          <w:sz w:val="24"/>
          <w:szCs w:val="24"/>
        </w:rPr>
        <w:t xml:space="preserve">a </w:t>
      </w:r>
      <w:r w:rsidRPr="00481E30">
        <w:rPr>
          <w:rStyle w:val="Gl"/>
          <w:sz w:val="24"/>
          <w:szCs w:val="24"/>
        </w:rPr>
        <w:t>vb. kendi dersliklerinin dışındaki eğitim ortamlarında, bulundukları yerin özel kurallarına uyarlar.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kantin ve yemekhanede sıraya girerler, kantin ve yemekhane kurallarına ve görgü kurallarına uyarlar.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Ulaşımını servisle yapan öğrenciler servis kurallarına uyarlar.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kendi kullandıkları araçla Okula gelemezler.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Okulun belirlenmiş kılık kıyafet kurallarına uyarlar.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sınavda, sınav kurallarına uyarlar.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Okul içinde cep telefonu kullanamazlar.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Öğrenciler ders araç ve gereçlerinin dışında Okula özel eşyalarını getiremezler.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Öğrenci ders günü sonunda sınıfta kitap, defter veya çanta gibi eşyasını bırakamaz. Bırakılan eşyadan Okul yönetimi sorumlu değildir.</w:t>
      </w:r>
    </w:p>
    <w:p w:rsidR="00D76C35" w:rsidRPr="00481E30" w:rsidRDefault="00D76C35" w:rsidP="00D76C35">
      <w:pPr>
        <w:numPr>
          <w:ilvl w:val="0"/>
          <w:numId w:val="1"/>
        </w:numPr>
        <w:spacing w:before="100" w:beforeAutospacing="1" w:after="100" w:afterAutospacing="1" w:line="240" w:lineRule="auto"/>
        <w:jc w:val="both"/>
        <w:rPr>
          <w:rStyle w:val="Gl"/>
          <w:sz w:val="24"/>
          <w:szCs w:val="24"/>
        </w:rPr>
      </w:pPr>
      <w:r w:rsidRPr="00481E30">
        <w:rPr>
          <w:rStyle w:val="Gl"/>
          <w:sz w:val="24"/>
          <w:szCs w:val="24"/>
        </w:rPr>
        <w:t>Okul içerisinde sakız çiğnenmez, kabuklu kuru yemiş yenmez.</w:t>
      </w:r>
    </w:p>
    <w:p w:rsidR="00A6052C" w:rsidRDefault="00A6052C">
      <w:bookmarkStart w:id="0" w:name="_GoBack"/>
      <w:bookmarkEnd w:id="0"/>
    </w:p>
    <w:sectPr w:rsidR="00A6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8D5"/>
    <w:multiLevelType w:val="multilevel"/>
    <w:tmpl w:val="07909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B"/>
    <w:rsid w:val="00A6052C"/>
    <w:rsid w:val="00BF1E5B"/>
    <w:rsid w:val="00D7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76C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76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2</cp:revision>
  <dcterms:created xsi:type="dcterms:W3CDTF">2022-06-30T07:04:00Z</dcterms:created>
  <dcterms:modified xsi:type="dcterms:W3CDTF">2022-06-30T07:04:00Z</dcterms:modified>
</cp:coreProperties>
</file>